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67DD6" w14:textId="55315E20" w:rsidR="00C400B9" w:rsidRDefault="00C400B9" w:rsidP="00C400B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</w:t>
      </w:r>
    </w:p>
    <w:p w14:paraId="4FD51BB0" w14:textId="110DBCCB" w:rsidR="00C400B9" w:rsidRDefault="00C400B9" w:rsidP="00C400B9">
      <w:pPr>
        <w:spacing w:line="360" w:lineRule="auto"/>
        <w:jc w:val="center"/>
        <w:rPr>
          <w:rFonts w:ascii="Arial" w:hAnsi="Arial" w:cs="Arial"/>
          <w:b/>
        </w:rPr>
      </w:pPr>
    </w:p>
    <w:p w14:paraId="25D665A0" w14:textId="24B325D8" w:rsidR="00C400B9" w:rsidRPr="00C400B9" w:rsidRDefault="002C4A85" w:rsidP="00C400B9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CARACTERÍSTICAS Y CONDICIONES</w:t>
      </w:r>
      <w:r w:rsidRPr="00B453E0">
        <w:rPr>
          <w:rFonts w:ascii="Arial" w:hAnsi="Arial" w:cs="Arial"/>
          <w:b/>
        </w:rPr>
        <w:t xml:space="preserve"> </w:t>
      </w:r>
      <w:r w:rsidR="00B453E0" w:rsidRPr="00B453E0">
        <w:rPr>
          <w:rFonts w:ascii="Arial" w:hAnsi="Arial" w:cs="Arial"/>
          <w:b/>
        </w:rPr>
        <w:t xml:space="preserve">PARA GARANTIZAR EL PLENO CUMPLIMIENTO DEL PRINCIPIO DE «NO CAUSAR UN PERJUICIO SIGNIFICATIVO AL MEDIO AMBIENTE» (PRINCIPIO </w:t>
      </w:r>
      <w:r w:rsidR="00B453E0" w:rsidRPr="00B453E0">
        <w:rPr>
          <w:rFonts w:ascii="Arial" w:hAnsi="Arial" w:cs="Arial"/>
          <w:b/>
          <w:i/>
          <w:iCs/>
        </w:rPr>
        <w:t>“DO NO SIGNIFICANT HARM”</w:t>
      </w:r>
      <w:r w:rsidR="00B453E0" w:rsidRPr="00B453E0">
        <w:rPr>
          <w:rFonts w:ascii="Arial" w:hAnsi="Arial" w:cs="Arial"/>
          <w:b/>
        </w:rPr>
        <w:t xml:space="preserve"> - DNSH)</w:t>
      </w:r>
      <w:r w:rsidR="007B262E">
        <w:rPr>
          <w:rFonts w:ascii="Arial" w:hAnsi="Arial" w:cs="Arial"/>
          <w:b/>
        </w:rPr>
        <w:t>, Y EL ETIQUETADO CLIMÁTICO Y DIGITAL,</w:t>
      </w:r>
      <w:r w:rsidR="00B453E0" w:rsidRPr="00B453E0">
        <w:rPr>
          <w:rFonts w:ascii="Arial" w:hAnsi="Arial" w:cs="Arial"/>
          <w:b/>
        </w:rPr>
        <w:t xml:space="preserve"> </w:t>
      </w:r>
      <w:r w:rsidR="007B262E" w:rsidRPr="007B262E">
        <w:rPr>
          <w:rFonts w:ascii="Arial" w:hAnsi="Arial" w:cs="Arial"/>
          <w:b/>
        </w:rPr>
        <w:t>DE</w:t>
      </w:r>
      <w:r w:rsidR="00B453E0" w:rsidRPr="007B262E">
        <w:rPr>
          <w:rFonts w:ascii="Arial" w:hAnsi="Arial" w:cs="Arial"/>
          <w:b/>
        </w:rPr>
        <w:t xml:space="preserve"> </w:t>
      </w:r>
      <w:r w:rsidR="008D5856" w:rsidRPr="007B262E">
        <w:rPr>
          <w:rFonts w:ascii="Arial" w:hAnsi="Arial" w:cs="Arial"/>
          <w:b/>
        </w:rPr>
        <w:t xml:space="preserve">LAS INVERSIONES </w:t>
      </w:r>
      <w:r w:rsidR="00C400B9" w:rsidRPr="007B262E">
        <w:rPr>
          <w:rFonts w:ascii="Arial" w:hAnsi="Arial" w:cs="Arial"/>
          <w:b/>
        </w:rPr>
        <w:t>LLEVADAS A CABO A TRAVÉS DE LA SUBVENCIÓN DE ACTUACIONES</w:t>
      </w:r>
      <w:r w:rsidR="00C400B9" w:rsidRPr="00C400B9">
        <w:rPr>
          <w:rFonts w:ascii="Arial" w:hAnsi="Arial" w:cs="Arial"/>
          <w:b/>
        </w:rPr>
        <w:t xml:space="preserve"> </w:t>
      </w:r>
      <w:r w:rsidR="00700250" w:rsidRPr="00700250">
        <w:rPr>
          <w:rFonts w:ascii="Arial" w:hAnsi="Arial" w:cs="Arial"/>
          <w:b/>
        </w:rPr>
        <w:t>EN LAS RESERVAS DE LA BIOSFERA DE CASTILLA Y LEÓN</w:t>
      </w:r>
      <w:r w:rsidR="00C400B9" w:rsidRPr="00C400B9">
        <w:rPr>
          <w:rFonts w:ascii="Arial" w:hAnsi="Arial" w:cs="Arial"/>
          <w:b/>
        </w:rPr>
        <w:t>, A CARGO DEL PLAN DE RECUPERACIÓN TRANSFORMACIÓN Y RESI</w:t>
      </w:r>
      <w:r w:rsidR="009E4227">
        <w:rPr>
          <w:rFonts w:ascii="Arial" w:hAnsi="Arial" w:cs="Arial"/>
          <w:b/>
        </w:rPr>
        <w:t>L</w:t>
      </w:r>
      <w:r w:rsidR="00BB2D45">
        <w:rPr>
          <w:rFonts w:ascii="Arial" w:hAnsi="Arial" w:cs="Arial"/>
          <w:b/>
        </w:rPr>
        <w:t>I</w:t>
      </w:r>
      <w:r w:rsidR="009E4227">
        <w:rPr>
          <w:rFonts w:ascii="Arial" w:hAnsi="Arial" w:cs="Arial"/>
          <w:b/>
        </w:rPr>
        <w:t>ENCIA (PRTR).</w:t>
      </w:r>
    </w:p>
    <w:p w14:paraId="27C4A4AA" w14:textId="6C5055F6" w:rsidR="00C400B9" w:rsidRDefault="00C400B9" w:rsidP="00B453E0">
      <w:pPr>
        <w:spacing w:line="360" w:lineRule="auto"/>
        <w:jc w:val="both"/>
        <w:rPr>
          <w:rFonts w:ascii="Arial" w:hAnsi="Arial" w:cs="Arial"/>
        </w:rPr>
      </w:pPr>
    </w:p>
    <w:p w14:paraId="7F713383" w14:textId="60FEB67A" w:rsidR="003C032D" w:rsidRDefault="00DA2641" w:rsidP="00B453E0">
      <w:pPr>
        <w:spacing w:line="360" w:lineRule="auto"/>
        <w:jc w:val="both"/>
        <w:rPr>
          <w:rFonts w:ascii="Arial" w:hAnsi="Arial" w:cs="Arial"/>
        </w:rPr>
      </w:pPr>
      <w:r w:rsidRPr="007E1A85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E42030" wp14:editId="4557C814">
                <wp:simplePos x="0" y="0"/>
                <wp:positionH relativeFrom="page">
                  <wp:posOffset>-2363470</wp:posOffset>
                </wp:positionH>
                <wp:positionV relativeFrom="page">
                  <wp:posOffset>4817110</wp:posOffset>
                </wp:positionV>
                <wp:extent cx="5725795" cy="261620"/>
                <wp:effectExtent l="7938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72579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0A4D4" w14:textId="6F75EA3B" w:rsidR="007E1A85" w:rsidRPr="001E5BCF" w:rsidRDefault="007E1A85" w:rsidP="007E1A85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 xml:space="preserve">Nº </w:t>
                            </w:r>
                            <w:r w:rsidRPr="007E1A85">
                              <w:rPr>
                                <w:rFonts w:ascii="Arial" w:hAnsi="Arial" w:cs="Arial"/>
                                <w:color w:val="808080"/>
                              </w:rPr>
                              <w:t>de</w:t>
                            </w:r>
                            <w:r w:rsidR="00444F03">
                              <w:rPr>
                                <w:rFonts w:ascii="Arial" w:hAnsi="Arial" w:cs="Arial"/>
                                <w:color w:val="808080"/>
                              </w:rPr>
                              <w:t xml:space="preserve"> IAPA: 3278          MODELO: 7968</w:t>
                            </w:r>
                          </w:p>
                          <w:p w14:paraId="173BED61" w14:textId="46921717" w:rsidR="007E1A85" w:rsidRDefault="007E1A8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4203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86.1pt;margin-top:379.3pt;width:450.85pt;height:20.6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" stroked="f">
                <v:textbox>
                  <w:txbxContent>
                    <w:p w14:paraId="53D0A4D4" w14:textId="6F75EA3B" w:rsidR="007E1A85" w:rsidRPr="001E5BCF" w:rsidRDefault="007E1A85" w:rsidP="007E1A85">
                      <w:pPr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 xml:space="preserve">Nº </w:t>
                      </w:r>
                      <w:r w:rsidRPr="007E1A85">
                        <w:rPr>
                          <w:rFonts w:ascii="Arial" w:hAnsi="Arial" w:cs="Arial"/>
                          <w:color w:val="808080"/>
                        </w:rPr>
                        <w:t>de</w:t>
                      </w:r>
                      <w:r w:rsidR="00444F03">
                        <w:rPr>
                          <w:rFonts w:ascii="Arial" w:hAnsi="Arial" w:cs="Arial"/>
                          <w:color w:val="808080"/>
                        </w:rPr>
                        <w:t xml:space="preserve"> IAPA: 3278          MODELO: 7968</w:t>
                      </w:r>
                    </w:p>
                    <w:p w14:paraId="173BED61" w14:textId="46921717" w:rsidR="007E1A85" w:rsidRDefault="007E1A85"/>
                  </w:txbxContent>
                </v:textbox>
                <w10:wrap type="square" anchorx="page" anchory="page"/>
              </v:shape>
            </w:pict>
          </mc:Fallback>
        </mc:AlternateContent>
      </w:r>
      <w:r w:rsidR="00C400B9" w:rsidRPr="00C400B9">
        <w:rPr>
          <w:rFonts w:ascii="Arial" w:hAnsi="Arial" w:cs="Arial"/>
        </w:rPr>
        <w:t>En relación</w:t>
      </w:r>
      <w:r w:rsidR="00C400B9">
        <w:rPr>
          <w:rFonts w:ascii="Arial" w:hAnsi="Arial" w:cs="Arial"/>
        </w:rPr>
        <w:t xml:space="preserve"> al cumplimiento del principio de </w:t>
      </w:r>
      <w:r w:rsidR="00C400B9" w:rsidRPr="0064442B">
        <w:rPr>
          <w:rFonts w:ascii="Arial" w:hAnsi="Arial" w:cs="Arial"/>
        </w:rPr>
        <w:t>«no causar un perjuicio</w:t>
      </w:r>
      <w:r w:rsidR="00C400B9">
        <w:rPr>
          <w:rFonts w:ascii="Arial" w:hAnsi="Arial" w:cs="Arial"/>
        </w:rPr>
        <w:t xml:space="preserve"> </w:t>
      </w:r>
      <w:r w:rsidR="00C400B9" w:rsidRPr="0064442B">
        <w:rPr>
          <w:rFonts w:ascii="Arial" w:hAnsi="Arial" w:cs="Arial"/>
        </w:rPr>
        <w:t xml:space="preserve">significativo al medio ambiente» (principio </w:t>
      </w:r>
      <w:r w:rsidR="00C400B9" w:rsidRPr="00FD7399">
        <w:rPr>
          <w:rFonts w:ascii="Arial" w:hAnsi="Arial" w:cs="Arial"/>
          <w:i/>
          <w:iCs/>
        </w:rPr>
        <w:t xml:space="preserve">“Do No </w:t>
      </w:r>
      <w:proofErr w:type="spellStart"/>
      <w:r w:rsidR="00C400B9" w:rsidRPr="00FD7399">
        <w:rPr>
          <w:rFonts w:ascii="Arial" w:hAnsi="Arial" w:cs="Arial"/>
          <w:i/>
          <w:iCs/>
        </w:rPr>
        <w:t>Significant</w:t>
      </w:r>
      <w:proofErr w:type="spellEnd"/>
      <w:r w:rsidR="00C400B9" w:rsidRPr="00FD7399">
        <w:rPr>
          <w:rFonts w:ascii="Arial" w:hAnsi="Arial" w:cs="Arial"/>
          <w:i/>
          <w:iCs/>
        </w:rPr>
        <w:t xml:space="preserve"> </w:t>
      </w:r>
      <w:proofErr w:type="spellStart"/>
      <w:r w:rsidR="00C400B9" w:rsidRPr="00FD7399">
        <w:rPr>
          <w:rFonts w:ascii="Arial" w:hAnsi="Arial" w:cs="Arial"/>
          <w:i/>
          <w:iCs/>
        </w:rPr>
        <w:t>Harm</w:t>
      </w:r>
      <w:proofErr w:type="spellEnd"/>
      <w:r w:rsidR="00C400B9" w:rsidRPr="00FD7399">
        <w:rPr>
          <w:rFonts w:ascii="Arial" w:hAnsi="Arial" w:cs="Arial"/>
          <w:i/>
          <w:iCs/>
        </w:rPr>
        <w:t>”</w:t>
      </w:r>
      <w:r w:rsidR="00C400B9">
        <w:rPr>
          <w:rFonts w:ascii="Arial" w:hAnsi="Arial" w:cs="Arial"/>
        </w:rPr>
        <w:t xml:space="preserve"> </w:t>
      </w:r>
      <w:r w:rsidR="00C400B9" w:rsidRPr="0064442B">
        <w:rPr>
          <w:rFonts w:ascii="Arial" w:hAnsi="Arial" w:cs="Arial"/>
        </w:rPr>
        <w:t>- DNSH)</w:t>
      </w:r>
      <w:r w:rsidR="008D5856">
        <w:rPr>
          <w:rFonts w:ascii="Arial" w:hAnsi="Arial" w:cs="Arial"/>
        </w:rPr>
        <w:t>, en el sentido del artículo 17 del Reglamento (UE) 2020/852,</w:t>
      </w:r>
      <w:r w:rsidR="00C400B9" w:rsidRPr="0064442B">
        <w:rPr>
          <w:rFonts w:ascii="Arial" w:hAnsi="Arial" w:cs="Arial"/>
        </w:rPr>
        <w:t xml:space="preserve"> </w:t>
      </w:r>
      <w:r w:rsidR="007B262E">
        <w:rPr>
          <w:rFonts w:ascii="Arial" w:hAnsi="Arial" w:cs="Arial"/>
        </w:rPr>
        <w:t xml:space="preserve">y </w:t>
      </w:r>
      <w:r w:rsidR="00D54DF8">
        <w:rPr>
          <w:rFonts w:ascii="Arial" w:hAnsi="Arial" w:cs="Arial"/>
        </w:rPr>
        <w:t>a</w:t>
      </w:r>
      <w:r w:rsidR="007B262E">
        <w:rPr>
          <w:rFonts w:ascii="Arial" w:hAnsi="Arial" w:cs="Arial"/>
        </w:rPr>
        <w:t>l</w:t>
      </w:r>
      <w:r w:rsidR="00D54DF8">
        <w:rPr>
          <w:rFonts w:ascii="Arial" w:hAnsi="Arial" w:cs="Arial"/>
        </w:rPr>
        <w:t xml:space="preserve"> cumplimiento del</w:t>
      </w:r>
      <w:r w:rsidR="007B262E">
        <w:rPr>
          <w:rFonts w:ascii="Arial" w:hAnsi="Arial" w:cs="Arial"/>
        </w:rPr>
        <w:t xml:space="preserve"> etiquetado climático y digital, </w:t>
      </w:r>
      <w:r w:rsidR="00C400B9">
        <w:rPr>
          <w:rFonts w:ascii="Arial" w:hAnsi="Arial" w:cs="Arial"/>
        </w:rPr>
        <w:t xml:space="preserve">por </w:t>
      </w:r>
      <w:r w:rsidR="003C032D">
        <w:rPr>
          <w:rFonts w:ascii="Arial" w:hAnsi="Arial" w:cs="Arial"/>
        </w:rPr>
        <w:t xml:space="preserve">las </w:t>
      </w:r>
      <w:r w:rsidR="00C400B9">
        <w:rPr>
          <w:rFonts w:ascii="Arial" w:hAnsi="Arial" w:cs="Arial"/>
        </w:rPr>
        <w:t xml:space="preserve">inversiones </w:t>
      </w:r>
      <w:r w:rsidR="003C032D">
        <w:rPr>
          <w:rFonts w:ascii="Arial" w:hAnsi="Arial" w:cs="Arial"/>
        </w:rPr>
        <w:t>llevadas a cabo a través de la</w:t>
      </w:r>
      <w:r w:rsidR="002C4A85">
        <w:rPr>
          <w:rFonts w:ascii="Arial" w:hAnsi="Arial" w:cs="Arial"/>
        </w:rPr>
        <w:t>s</w:t>
      </w:r>
      <w:r w:rsidR="003C032D">
        <w:rPr>
          <w:rFonts w:ascii="Arial" w:hAnsi="Arial" w:cs="Arial"/>
        </w:rPr>
        <w:t xml:space="preserve"> línea</w:t>
      </w:r>
      <w:r w:rsidR="002C4A85">
        <w:rPr>
          <w:rFonts w:ascii="Arial" w:hAnsi="Arial" w:cs="Arial"/>
        </w:rPr>
        <w:t>s</w:t>
      </w:r>
      <w:r w:rsidR="003C032D">
        <w:rPr>
          <w:rFonts w:ascii="Arial" w:hAnsi="Arial" w:cs="Arial"/>
        </w:rPr>
        <w:t xml:space="preserve"> de ayuda regulada</w:t>
      </w:r>
      <w:r w:rsidR="002C4A85">
        <w:rPr>
          <w:rFonts w:ascii="Arial" w:hAnsi="Arial" w:cs="Arial"/>
        </w:rPr>
        <w:t>s</w:t>
      </w:r>
      <w:r w:rsidR="003C032D">
        <w:rPr>
          <w:rFonts w:ascii="Arial" w:hAnsi="Arial" w:cs="Arial"/>
        </w:rPr>
        <w:t xml:space="preserve"> por </w:t>
      </w:r>
      <w:r w:rsidR="002C4A85">
        <w:rPr>
          <w:rFonts w:ascii="Arial" w:hAnsi="Arial" w:cs="Arial"/>
        </w:rPr>
        <w:t>la presente orden</w:t>
      </w:r>
      <w:r w:rsidR="003C032D" w:rsidRPr="003B146B">
        <w:rPr>
          <w:rFonts w:ascii="Arial" w:hAnsi="Arial" w:cs="Arial"/>
        </w:rPr>
        <w:t xml:space="preserve">, </w:t>
      </w:r>
      <w:r w:rsidR="009E4227" w:rsidRPr="003B146B">
        <w:rPr>
          <w:rFonts w:ascii="Arial" w:hAnsi="Arial" w:cs="Arial"/>
        </w:rPr>
        <w:t xml:space="preserve">y de acuerdo con lo previsto en </w:t>
      </w:r>
      <w:r w:rsidR="007B262E" w:rsidRPr="003B146B">
        <w:rPr>
          <w:rFonts w:ascii="Arial" w:hAnsi="Arial" w:cs="Arial"/>
        </w:rPr>
        <w:t>los apartados 3 y 8 del documento del componente 4 del Plan de Recuperación, Transformación y Resiliencia</w:t>
      </w:r>
      <w:r w:rsidR="009E4227" w:rsidRPr="003B146B">
        <w:rPr>
          <w:rFonts w:ascii="Arial" w:hAnsi="Arial" w:cs="Arial"/>
        </w:rPr>
        <w:t xml:space="preserve">, en la Decisión de Ejecución del Consejo relativa a la aprobación de la evaluación del plan de recuperación y resiliencia de España (Council </w:t>
      </w:r>
      <w:proofErr w:type="spellStart"/>
      <w:r w:rsidR="009E4227" w:rsidRPr="003B146B">
        <w:rPr>
          <w:rFonts w:ascii="Arial" w:hAnsi="Arial" w:cs="Arial"/>
        </w:rPr>
        <w:t>Implementing</w:t>
      </w:r>
      <w:proofErr w:type="spellEnd"/>
      <w:r w:rsidR="009E4227" w:rsidRPr="003B146B">
        <w:rPr>
          <w:rFonts w:ascii="Arial" w:hAnsi="Arial" w:cs="Arial"/>
        </w:rPr>
        <w:t xml:space="preserve"> </w:t>
      </w:r>
      <w:proofErr w:type="spellStart"/>
      <w:r w:rsidR="009E4227" w:rsidRPr="003B146B">
        <w:rPr>
          <w:rFonts w:ascii="Arial" w:hAnsi="Arial" w:cs="Arial"/>
        </w:rPr>
        <w:t>Decision</w:t>
      </w:r>
      <w:proofErr w:type="spellEnd"/>
      <w:r w:rsidR="009E4227" w:rsidRPr="003B146B">
        <w:rPr>
          <w:rFonts w:ascii="Arial" w:hAnsi="Arial" w:cs="Arial"/>
        </w:rPr>
        <w:t xml:space="preserve"> – CID) y en el Reglamento 2021/241</w:t>
      </w:r>
      <w:r w:rsidR="009E4227" w:rsidRPr="003B146B">
        <w:rPr>
          <w:rFonts w:ascii="Arial" w:hAnsi="Arial" w:cs="Arial"/>
          <w:lang w:val="es-ES_tradnl"/>
        </w:rPr>
        <w:t xml:space="preserve"> del Parlamento Europeo y del Consejo, de 12 de febrero de 2021, por el que se establece el Mecanismo de Recuperación y Resiliencia,</w:t>
      </w:r>
      <w:r w:rsidR="009E4227" w:rsidRPr="003B146B">
        <w:rPr>
          <w:rFonts w:ascii="Arial" w:hAnsi="Arial" w:cs="Arial"/>
        </w:rPr>
        <w:t xml:space="preserve"> así como en su normativa de desarrollo, </w:t>
      </w:r>
      <w:r w:rsidR="003C032D" w:rsidRPr="003B146B">
        <w:rPr>
          <w:rFonts w:ascii="Arial" w:hAnsi="Arial" w:cs="Arial"/>
        </w:rPr>
        <w:t xml:space="preserve">el presente anexo recoge </w:t>
      </w:r>
      <w:r w:rsidR="007B262E" w:rsidRPr="003B146B">
        <w:rPr>
          <w:rFonts w:ascii="Arial" w:hAnsi="Arial" w:cs="Arial"/>
        </w:rPr>
        <w:t xml:space="preserve">de manera no exhaustiva </w:t>
      </w:r>
      <w:r w:rsidR="003C032D" w:rsidRPr="003B146B">
        <w:rPr>
          <w:rFonts w:ascii="Arial" w:hAnsi="Arial" w:cs="Arial"/>
        </w:rPr>
        <w:t xml:space="preserve">el condicionado que </w:t>
      </w:r>
      <w:r w:rsidR="008D5856" w:rsidRPr="003B146B">
        <w:rPr>
          <w:rFonts w:ascii="Arial" w:hAnsi="Arial" w:cs="Arial"/>
        </w:rPr>
        <w:t xml:space="preserve">las actividades, en particular en su concreción y desarrollo, </w:t>
      </w:r>
      <w:r w:rsidR="003C032D" w:rsidRPr="003B146B">
        <w:rPr>
          <w:rFonts w:ascii="Arial" w:hAnsi="Arial" w:cs="Arial"/>
        </w:rPr>
        <w:t>deben contemplar para garantizar el pleno</w:t>
      </w:r>
      <w:r w:rsidR="003C032D">
        <w:rPr>
          <w:rFonts w:ascii="Arial" w:hAnsi="Arial" w:cs="Arial"/>
        </w:rPr>
        <w:t xml:space="preserve"> cumplimiento del citado principio</w:t>
      </w:r>
      <w:r w:rsidR="007B262E">
        <w:rPr>
          <w:rFonts w:ascii="Arial" w:hAnsi="Arial" w:cs="Arial"/>
        </w:rPr>
        <w:t xml:space="preserve"> y etiquetado. Los condicionantes específicos son los siguientes (enumeración no exhaustiva):</w:t>
      </w:r>
      <w:r w:rsidR="003C032D">
        <w:rPr>
          <w:rFonts w:ascii="Arial" w:hAnsi="Arial" w:cs="Arial"/>
        </w:rPr>
        <w:t xml:space="preserve"> </w:t>
      </w:r>
    </w:p>
    <w:p w14:paraId="71BEF075" w14:textId="4F035D8B" w:rsidR="0061428A" w:rsidRDefault="0061428A" w:rsidP="00B453E0">
      <w:pPr>
        <w:spacing w:line="360" w:lineRule="auto"/>
        <w:jc w:val="both"/>
        <w:rPr>
          <w:rFonts w:ascii="Arial" w:hAnsi="Arial" w:cs="Arial"/>
        </w:rPr>
      </w:pPr>
    </w:p>
    <w:p w14:paraId="4B313770" w14:textId="77777777" w:rsidR="0061428A" w:rsidRDefault="0061428A" w:rsidP="0061428A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Mitigación del cambio climático</w:t>
      </w:r>
    </w:p>
    <w:p w14:paraId="70AA5F23" w14:textId="77777777" w:rsidR="00EC5CD6" w:rsidRPr="00EC5CD6" w:rsidRDefault="00EC5CD6" w:rsidP="00EC5CD6">
      <w:pPr>
        <w:pStyle w:val="parrafo1"/>
        <w:numPr>
          <w:ilvl w:val="1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EC5CD6">
        <w:rPr>
          <w:rFonts w:ascii="Arial" w:hAnsi="Arial" w:cs="Arial"/>
          <w:sz w:val="20"/>
          <w:szCs w:val="20"/>
        </w:rPr>
        <w:t xml:space="preserve">Para el caso de nuevas construcciones se cumplirá con objetivo de consumo casi nulo (NZEB) de la Directiva 2010/31/UE del Parlamento Europeo y del Consejo, de 19 de mayo de 2010, relativa a la eficiencia energética de los edificios (EPBD). </w:t>
      </w:r>
    </w:p>
    <w:p w14:paraId="1F916E06" w14:textId="13B9136A" w:rsidR="00700250" w:rsidRPr="001539F9" w:rsidRDefault="00EC5CD6" w:rsidP="001539F9">
      <w:pPr>
        <w:pStyle w:val="parrafo1"/>
        <w:numPr>
          <w:ilvl w:val="1"/>
          <w:numId w:val="7"/>
        </w:numPr>
        <w:spacing w:line="360" w:lineRule="auto"/>
        <w:rPr>
          <w:rFonts w:ascii="Arial" w:hAnsi="Arial" w:cs="Arial"/>
        </w:rPr>
      </w:pPr>
      <w:r w:rsidRPr="002C4A85">
        <w:rPr>
          <w:rFonts w:ascii="Arial" w:hAnsi="Arial" w:cs="Arial"/>
          <w:sz w:val="20"/>
          <w:szCs w:val="20"/>
        </w:rPr>
        <w:t>Las renovaciones de edificios deben cumplir con la Directiva 2010/31/UE del Parlamento Europeo y del Consejo, de 19 de mayo de 2010, r</w:t>
      </w:r>
      <w:r w:rsidRPr="00E63F0A">
        <w:rPr>
          <w:rFonts w:ascii="Arial" w:hAnsi="Arial" w:cs="Arial"/>
          <w:sz w:val="20"/>
          <w:szCs w:val="20"/>
        </w:rPr>
        <w:t>elativa a la eficiencia energética de los edificios (EPBD).</w:t>
      </w:r>
      <w:r w:rsidRPr="002C4A85">
        <w:rPr>
          <w:rFonts w:ascii="Arial" w:hAnsi="Arial" w:cs="Arial"/>
        </w:rPr>
        <w:t xml:space="preserve"> </w:t>
      </w:r>
      <w:r w:rsidR="00700250" w:rsidRPr="002C4A85">
        <w:rPr>
          <w:rFonts w:ascii="Arial" w:hAnsi="Arial" w:cs="Arial"/>
        </w:rPr>
        <w:br w:type="page"/>
      </w:r>
    </w:p>
    <w:p w14:paraId="1ECB1E7D" w14:textId="59CC32F0" w:rsidR="00773033" w:rsidRPr="00DA2641" w:rsidRDefault="00773033" w:rsidP="0061428A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DA2641">
        <w:rPr>
          <w:rFonts w:ascii="Arial" w:hAnsi="Arial" w:cs="Arial"/>
          <w:b/>
          <w:sz w:val="20"/>
          <w:szCs w:val="20"/>
        </w:rPr>
        <w:lastRenderedPageBreak/>
        <w:t>Adaptación al cambio climático</w:t>
      </w:r>
    </w:p>
    <w:p w14:paraId="7D621EED" w14:textId="021D8428" w:rsidR="003444D6" w:rsidRDefault="003444D6" w:rsidP="003444D6">
      <w:pPr>
        <w:pStyle w:val="parrafo1"/>
        <w:spacing w:line="360" w:lineRule="auto"/>
        <w:ind w:left="72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llevará a cabo un análisis de los riesgos climáticos para garantizar que las renovaciones y nuevas construcciones, ligadas a la gestión de la biodiversidad, no afecten de manera perjudicial al medio ambiente. Para reducir el impacto térmico de los edificios se utilizarán sistemas de diseño de eficiencia energética y uso de materiales adecuados al medio.</w:t>
      </w:r>
    </w:p>
    <w:p w14:paraId="7812A988" w14:textId="4F4F232A" w:rsidR="00773033" w:rsidRDefault="002C4A85" w:rsidP="0061428A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Uso sostenible </w:t>
      </w:r>
      <w:r w:rsidR="00773033">
        <w:rPr>
          <w:rFonts w:ascii="Arial" w:hAnsi="Arial" w:cs="Arial"/>
          <w:sz w:val="20"/>
          <w:szCs w:val="20"/>
        </w:rPr>
        <w:t>y protección de los recursos hídricos</w:t>
      </w:r>
      <w:r>
        <w:rPr>
          <w:rFonts w:ascii="Arial" w:hAnsi="Arial" w:cs="Arial"/>
          <w:sz w:val="20"/>
          <w:szCs w:val="20"/>
        </w:rPr>
        <w:t xml:space="preserve"> y marinos</w:t>
      </w:r>
    </w:p>
    <w:p w14:paraId="7F2DD1E1" w14:textId="3231A151" w:rsidR="003444D6" w:rsidRDefault="003444D6" w:rsidP="003444D6">
      <w:pPr>
        <w:pStyle w:val="parrafo1"/>
        <w:spacing w:line="360" w:lineRule="auto"/>
        <w:ind w:left="72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evitar el impacto de la obra, nueva o reacondicionamiento, se identificarán y abordarán los riesgos de degradación ambiental relacionados con la preservación de la calidad del agua y la evitación del estrés hídrico, de acuerdo con un plan de gestión del uso y la protección del agua.</w:t>
      </w:r>
    </w:p>
    <w:p w14:paraId="61F9A3AC" w14:textId="3506758C" w:rsidR="0061428A" w:rsidRDefault="00DD6779" w:rsidP="0061428A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DA2641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BBDD12" wp14:editId="7AE6ACBA">
                <wp:simplePos x="0" y="0"/>
                <wp:positionH relativeFrom="column">
                  <wp:posOffset>-3093085</wp:posOffset>
                </wp:positionH>
                <wp:positionV relativeFrom="paragraph">
                  <wp:posOffset>40005</wp:posOffset>
                </wp:positionV>
                <wp:extent cx="4846320" cy="247015"/>
                <wp:effectExtent l="0" t="5398" r="6033" b="6032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84632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A8A60" w14:textId="5829CA64" w:rsidR="00DA2641" w:rsidRPr="001E5BCF" w:rsidRDefault="00DA2641" w:rsidP="00DA2641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 xml:space="preserve">Nº </w:t>
                            </w:r>
                            <w:r w:rsidRPr="007E1A85">
                              <w:rPr>
                                <w:rFonts w:ascii="Arial" w:hAnsi="Arial" w:cs="Arial"/>
                                <w:color w:val="808080"/>
                              </w:rPr>
                              <w:t xml:space="preserve">de IAPA: 3278          MODELO: </w:t>
                            </w:r>
                            <w:r w:rsidR="00444F03">
                              <w:rPr>
                                <w:rFonts w:ascii="Arial" w:hAnsi="Arial" w:cs="Arial"/>
                                <w:color w:val="808080"/>
                              </w:rPr>
                              <w:t>7968</w:t>
                            </w:r>
                          </w:p>
                          <w:p w14:paraId="34D503D6" w14:textId="03179B39" w:rsidR="00DA2641" w:rsidRDefault="00DA264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BDD12" id="_x0000_s1027" type="#_x0000_t202" style="position:absolute;left:0;text-align:left;margin-left:-243.55pt;margin-top:3.15pt;width:381.6pt;height:19.45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" stroked="f">
                <v:textbox>
                  <w:txbxContent>
                    <w:p w14:paraId="3BAA8A60" w14:textId="5829CA64" w:rsidR="00DA2641" w:rsidRPr="001E5BCF" w:rsidRDefault="00DA2641" w:rsidP="00DA2641">
                      <w:pPr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 xml:space="preserve">Nº </w:t>
                      </w:r>
                      <w:r w:rsidRPr="007E1A85">
                        <w:rPr>
                          <w:rFonts w:ascii="Arial" w:hAnsi="Arial" w:cs="Arial"/>
                          <w:color w:val="808080"/>
                        </w:rPr>
                        <w:t xml:space="preserve">de IAPA: 3278          MODELO: </w:t>
                      </w:r>
                      <w:r w:rsidR="00444F03">
                        <w:rPr>
                          <w:rFonts w:ascii="Arial" w:hAnsi="Arial" w:cs="Arial"/>
                          <w:color w:val="808080"/>
                        </w:rPr>
                        <w:t>7968</w:t>
                      </w:r>
                    </w:p>
                    <w:p w14:paraId="34D503D6" w14:textId="03179B39" w:rsidR="00DA2641" w:rsidRDefault="00DA2641"/>
                  </w:txbxContent>
                </v:textbox>
                <w10:wrap type="square"/>
              </v:shape>
            </w:pict>
          </mc:Fallback>
        </mc:AlternateContent>
      </w:r>
      <w:r w:rsidR="002C4A85">
        <w:rPr>
          <w:rFonts w:ascii="Arial" w:hAnsi="Arial" w:cs="Arial"/>
          <w:sz w:val="20"/>
          <w:szCs w:val="20"/>
        </w:rPr>
        <w:t>Transición hacia una e</w:t>
      </w:r>
      <w:r w:rsidR="0061428A">
        <w:rPr>
          <w:rFonts w:ascii="Arial" w:hAnsi="Arial" w:cs="Arial"/>
          <w:sz w:val="20"/>
          <w:szCs w:val="20"/>
        </w:rPr>
        <w:t>conomía circular</w:t>
      </w:r>
    </w:p>
    <w:p w14:paraId="0C2B6325" w14:textId="4108F73E" w:rsidR="00B453E0" w:rsidRDefault="00C25470" w:rsidP="0061428A">
      <w:pPr>
        <w:pStyle w:val="parrafo1"/>
        <w:numPr>
          <w:ilvl w:val="1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C25470">
        <w:rPr>
          <w:rFonts w:ascii="Arial" w:hAnsi="Arial" w:cs="Arial"/>
          <w:sz w:val="20"/>
          <w:szCs w:val="20"/>
        </w:rPr>
        <w:t>Se considera necesario que al menos el 70 % (en peso) de los residuos de construcción y demolición generados en los proyectos de infraestructura (con exclusión de los residuos con código LER 17 05 04), se preparen para la reutilización, el reciclaje y la valorización de otros materiales, incluidas las operaciones de relleno utilizando residuos para sustituir otros materiales.</w:t>
      </w:r>
      <w:r w:rsidR="00B453E0">
        <w:rPr>
          <w:rFonts w:ascii="Arial" w:hAnsi="Arial" w:cs="Arial"/>
          <w:sz w:val="20"/>
          <w:szCs w:val="20"/>
        </w:rPr>
        <w:t xml:space="preserve"> Los procesos que impliquen demolición deben realizarse de forma selectiva (separando materiales). </w:t>
      </w:r>
    </w:p>
    <w:p w14:paraId="778726EE" w14:textId="77777777" w:rsidR="00B453E0" w:rsidRPr="00BE3DD1" w:rsidRDefault="00B453E0" w:rsidP="0061428A">
      <w:pPr>
        <w:pStyle w:val="parrafo1"/>
        <w:numPr>
          <w:ilvl w:val="1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BE3DD1">
        <w:rPr>
          <w:rFonts w:ascii="Arial" w:hAnsi="Arial" w:cs="Arial"/>
          <w:sz w:val="20"/>
          <w:szCs w:val="20"/>
        </w:rPr>
        <w:t xml:space="preserve">De igual modo, los operadores limitarán la generación de residuos en los procesos relacionados con la construcción y la demolición, de acuerdo con el Protocolo de la UE sobre la gestión de los residuos de la construcción y demolición y teniendo en cuenta las mejores técnicas disponibles y utilizando la demolición selectiva para permitir la eliminación y la manipulación segura de las sustancias peligrosas y facilitar la reutilización y el reciclaje de alta calidad mediante la eliminación selectiva de los materiales, utilizando los sistemas de </w:t>
      </w:r>
      <w:proofErr w:type="gramStart"/>
      <w:r w:rsidRPr="00BE3DD1">
        <w:rPr>
          <w:rFonts w:ascii="Arial" w:hAnsi="Arial" w:cs="Arial"/>
          <w:sz w:val="20"/>
          <w:szCs w:val="20"/>
        </w:rPr>
        <w:t>clasificación disponibles</w:t>
      </w:r>
      <w:proofErr w:type="gramEnd"/>
      <w:r w:rsidRPr="00BE3DD1">
        <w:rPr>
          <w:rFonts w:ascii="Arial" w:hAnsi="Arial" w:cs="Arial"/>
          <w:sz w:val="20"/>
          <w:szCs w:val="20"/>
        </w:rPr>
        <w:t xml:space="preserve"> para los residuos de la construcción y la demolición.</w:t>
      </w:r>
    </w:p>
    <w:p w14:paraId="16ED63E9" w14:textId="77777777" w:rsidR="00B453E0" w:rsidRDefault="00B453E0" w:rsidP="0061428A">
      <w:pPr>
        <w:pStyle w:val="parrafo1"/>
        <w:numPr>
          <w:ilvl w:val="1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BE3DD1">
        <w:rPr>
          <w:rFonts w:ascii="Arial" w:hAnsi="Arial" w:cs="Arial"/>
          <w:sz w:val="20"/>
          <w:szCs w:val="20"/>
        </w:rPr>
        <w:t xml:space="preserve">Los diseños de los edificios y las técnicas de construcción apoyarán la circularidad y, en particular, demostrarán, con referencia a la norma ISO 20887 u otras normas para evaluar la </w:t>
      </w:r>
      <w:proofErr w:type="spellStart"/>
      <w:r w:rsidRPr="00BE3DD1">
        <w:rPr>
          <w:rFonts w:ascii="Arial" w:hAnsi="Arial" w:cs="Arial"/>
          <w:sz w:val="20"/>
          <w:szCs w:val="20"/>
        </w:rPr>
        <w:t>desmontabilidad</w:t>
      </w:r>
      <w:proofErr w:type="spellEnd"/>
      <w:r w:rsidRPr="00BE3DD1">
        <w:rPr>
          <w:rFonts w:ascii="Arial" w:hAnsi="Arial" w:cs="Arial"/>
          <w:sz w:val="20"/>
          <w:szCs w:val="20"/>
        </w:rPr>
        <w:t xml:space="preserve"> o adaptabilidad de los edificios, cómo están diseñados para ser más eficientes en cuanto a recursos, adaptables, flexibles y desmontables para permitir la reutilización y el reciclaje.</w:t>
      </w:r>
    </w:p>
    <w:p w14:paraId="2EC45F99" w14:textId="77777777" w:rsidR="00700250" w:rsidRDefault="00700250">
      <w:pPr>
        <w:rPr>
          <w:rFonts w:ascii="Arial" w:eastAsia="Times New Roman" w:hAnsi="Arial" w:cs="Arial"/>
          <w:lang w:eastAsia="es-ES"/>
        </w:rPr>
      </w:pPr>
      <w:r>
        <w:rPr>
          <w:rFonts w:ascii="Arial" w:hAnsi="Arial" w:cs="Arial"/>
        </w:rPr>
        <w:br w:type="page"/>
      </w:r>
    </w:p>
    <w:p w14:paraId="56883D27" w14:textId="44983E82" w:rsidR="0061428A" w:rsidRDefault="0061428A" w:rsidP="00BA20A4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Prevención y control de la contaminación</w:t>
      </w:r>
    </w:p>
    <w:p w14:paraId="68747379" w14:textId="7537FF64" w:rsidR="00A416BC" w:rsidRPr="00A416BC" w:rsidRDefault="00A416BC" w:rsidP="0061428A">
      <w:pPr>
        <w:pStyle w:val="parrafo1"/>
        <w:numPr>
          <w:ilvl w:val="0"/>
          <w:numId w:val="8"/>
        </w:numPr>
        <w:spacing w:line="360" w:lineRule="auto"/>
        <w:rPr>
          <w:rFonts w:ascii="Arial" w:hAnsi="Arial" w:cs="Arial"/>
          <w:sz w:val="20"/>
          <w:szCs w:val="20"/>
        </w:rPr>
      </w:pPr>
      <w:r w:rsidRPr="00A416BC">
        <w:rPr>
          <w:rFonts w:ascii="Arial" w:hAnsi="Arial" w:cs="Arial"/>
          <w:sz w:val="20"/>
          <w:szCs w:val="20"/>
        </w:rPr>
        <w:t>Los componentes y materiales del edificio utilizados en la construcción no contendrán amianto ni sustancias altamente preocupantes identificadas en la lista de sustancias sujetas a autorización que figura en el anexo XIV del Reglamento (CE) nº 1907/2006 del Parlamento Europeo y del Consejo.</w:t>
      </w:r>
    </w:p>
    <w:p w14:paraId="729A9F54" w14:textId="004D91AC" w:rsidR="00A416BC" w:rsidRPr="00A416BC" w:rsidRDefault="00DD6779" w:rsidP="0061428A">
      <w:pPr>
        <w:pStyle w:val="parrafo1"/>
        <w:numPr>
          <w:ilvl w:val="0"/>
          <w:numId w:val="8"/>
        </w:numPr>
        <w:spacing w:line="360" w:lineRule="auto"/>
        <w:rPr>
          <w:rFonts w:ascii="Arial" w:hAnsi="Arial" w:cs="Arial"/>
          <w:sz w:val="20"/>
          <w:szCs w:val="20"/>
        </w:rPr>
      </w:pPr>
      <w:r w:rsidRPr="00DD677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F810E1E" wp14:editId="7C14E232">
                <wp:simplePos x="0" y="0"/>
                <wp:positionH relativeFrom="column">
                  <wp:posOffset>-2701290</wp:posOffset>
                </wp:positionH>
                <wp:positionV relativeFrom="paragraph">
                  <wp:posOffset>1143635</wp:posOffset>
                </wp:positionV>
                <wp:extent cx="4501515" cy="284480"/>
                <wp:effectExtent l="0" t="6032" r="7302" b="7303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0151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C6E0E" w14:textId="56982348" w:rsidR="00DD6779" w:rsidRPr="001E5BCF" w:rsidRDefault="00DD6779" w:rsidP="00DD6779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 xml:space="preserve">Nº </w:t>
                            </w:r>
                            <w:r w:rsidRPr="007E1A85">
                              <w:rPr>
                                <w:rFonts w:ascii="Arial" w:hAnsi="Arial" w:cs="Arial"/>
                                <w:color w:val="808080"/>
                              </w:rPr>
                              <w:t xml:space="preserve">de IAPA: </w:t>
                            </w:r>
                            <w:r w:rsidR="00444F03">
                              <w:rPr>
                                <w:rFonts w:ascii="Arial" w:hAnsi="Arial" w:cs="Arial"/>
                                <w:color w:val="808080"/>
                              </w:rPr>
                              <w:t>3278          MODELO: 7968</w:t>
                            </w:r>
                          </w:p>
                          <w:p w14:paraId="69F4E996" w14:textId="07619EF9" w:rsidR="00DD6779" w:rsidRDefault="00DD67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10E1E" id="_x0000_s1028" type="#_x0000_t202" style="position:absolute;left:0;text-align:left;margin-left:-212.7pt;margin-top:90.05pt;width:354.45pt;height:22.4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" stroked="f">
                <v:textbox>
                  <w:txbxContent>
                    <w:p w14:paraId="471C6E0E" w14:textId="56982348" w:rsidR="00DD6779" w:rsidRPr="001E5BCF" w:rsidRDefault="00DD6779" w:rsidP="00DD6779">
                      <w:pPr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 xml:space="preserve">Nº </w:t>
                      </w:r>
                      <w:r w:rsidRPr="007E1A85">
                        <w:rPr>
                          <w:rFonts w:ascii="Arial" w:hAnsi="Arial" w:cs="Arial"/>
                          <w:color w:val="808080"/>
                        </w:rPr>
                        <w:t xml:space="preserve">de IAPA: </w:t>
                      </w:r>
                      <w:r w:rsidR="00444F03">
                        <w:rPr>
                          <w:rFonts w:ascii="Arial" w:hAnsi="Arial" w:cs="Arial"/>
                          <w:color w:val="808080"/>
                        </w:rPr>
                        <w:t>3278          MODELO: 7968</w:t>
                      </w:r>
                    </w:p>
                    <w:p w14:paraId="69F4E996" w14:textId="07619EF9" w:rsidR="00DD6779" w:rsidRDefault="00DD6779"/>
                  </w:txbxContent>
                </v:textbox>
                <w10:wrap type="square"/>
              </v:shape>
            </w:pict>
          </mc:Fallback>
        </mc:AlternateContent>
      </w:r>
      <w:r w:rsidR="00A416BC" w:rsidRPr="00A416BC">
        <w:rPr>
          <w:rFonts w:ascii="Arial" w:hAnsi="Arial" w:cs="Arial"/>
          <w:sz w:val="20"/>
          <w:szCs w:val="20"/>
        </w:rPr>
        <w:t>Los componentes y materiales de la construcción que puedan entrar en contacto con los ocupantes emi</w:t>
      </w:r>
      <w:bookmarkStart w:id="0" w:name="_GoBack"/>
      <w:bookmarkEnd w:id="0"/>
      <w:r w:rsidR="00A416BC" w:rsidRPr="00A416BC">
        <w:rPr>
          <w:rFonts w:ascii="Arial" w:hAnsi="Arial" w:cs="Arial"/>
          <w:sz w:val="20"/>
          <w:szCs w:val="20"/>
        </w:rPr>
        <w:t>tirán menos de 0,06 mg de formaldehído por m³ de material o componente y menos de 0,001 mg de compuestos orgánicos volátiles cancerígenos de las categorías 1A y 1B por m³ de material o componente, al realizar los ensayos de acuerdo con las normas CEN/TS 16516 e ISO 16000-3 u</w:t>
      </w:r>
      <w:r w:rsidR="00A416BC" w:rsidRPr="00A416BC">
        <w:t xml:space="preserve"> </w:t>
      </w:r>
      <w:r w:rsidR="00A416BC" w:rsidRPr="00A416BC">
        <w:rPr>
          <w:rFonts w:ascii="Arial" w:hAnsi="Arial" w:cs="Arial"/>
          <w:sz w:val="20"/>
          <w:szCs w:val="20"/>
        </w:rPr>
        <w:t>otras condiciones de ensayo y métodos de determinación normalizados comparables.</w:t>
      </w:r>
    </w:p>
    <w:p w14:paraId="30DF4BDC" w14:textId="55B09A77" w:rsidR="00A416BC" w:rsidRPr="00A416BC" w:rsidRDefault="00A416BC" w:rsidP="0061428A">
      <w:pPr>
        <w:pStyle w:val="parrafo1"/>
        <w:numPr>
          <w:ilvl w:val="0"/>
          <w:numId w:val="8"/>
        </w:numPr>
        <w:spacing w:line="360" w:lineRule="auto"/>
        <w:rPr>
          <w:rFonts w:ascii="Arial" w:hAnsi="Arial" w:cs="Arial"/>
          <w:sz w:val="20"/>
          <w:szCs w:val="20"/>
        </w:rPr>
      </w:pPr>
      <w:r w:rsidRPr="00A416BC">
        <w:rPr>
          <w:rFonts w:ascii="Arial" w:hAnsi="Arial" w:cs="Arial"/>
          <w:sz w:val="20"/>
          <w:szCs w:val="20"/>
        </w:rPr>
        <w:t>En el caso de que la nueva construcción esté situada en un emplazamiento potencialmente contaminado (</w:t>
      </w:r>
      <w:proofErr w:type="spellStart"/>
      <w:r w:rsidRPr="00A416BC">
        <w:rPr>
          <w:rFonts w:ascii="Arial" w:hAnsi="Arial" w:cs="Arial"/>
          <w:sz w:val="20"/>
          <w:szCs w:val="20"/>
        </w:rPr>
        <w:t>brownfield</w:t>
      </w:r>
      <w:proofErr w:type="spellEnd"/>
      <w:r w:rsidRPr="00A416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16BC">
        <w:rPr>
          <w:rFonts w:ascii="Arial" w:hAnsi="Arial" w:cs="Arial"/>
          <w:sz w:val="20"/>
          <w:szCs w:val="20"/>
        </w:rPr>
        <w:t>site</w:t>
      </w:r>
      <w:proofErr w:type="spellEnd"/>
      <w:r w:rsidRPr="00A416BC">
        <w:rPr>
          <w:rFonts w:ascii="Arial" w:hAnsi="Arial" w:cs="Arial"/>
          <w:sz w:val="20"/>
          <w:szCs w:val="20"/>
        </w:rPr>
        <w:t>), el emplazamiento será objeto de investigación para detectar posibles contaminantes, (norma ISO 18400).</w:t>
      </w:r>
    </w:p>
    <w:p w14:paraId="7D893CC8" w14:textId="73229EAB" w:rsidR="00A416BC" w:rsidRDefault="00A416BC" w:rsidP="0061428A">
      <w:pPr>
        <w:pStyle w:val="parrafo1"/>
        <w:numPr>
          <w:ilvl w:val="0"/>
          <w:numId w:val="8"/>
        </w:numPr>
        <w:spacing w:line="360" w:lineRule="auto"/>
        <w:rPr>
          <w:rFonts w:ascii="Arial" w:hAnsi="Arial" w:cs="Arial"/>
          <w:sz w:val="20"/>
          <w:szCs w:val="20"/>
        </w:rPr>
      </w:pPr>
      <w:r w:rsidRPr="00A416BC">
        <w:rPr>
          <w:rFonts w:ascii="Arial" w:hAnsi="Arial" w:cs="Arial"/>
          <w:sz w:val="20"/>
          <w:szCs w:val="20"/>
        </w:rPr>
        <w:t>Se tomarán medidas para reducir el ruido, el polvo y las emisiones contaminantes durante los trabajos de construcción o mantenimiento.</w:t>
      </w:r>
    </w:p>
    <w:p w14:paraId="011CC38A" w14:textId="03BDA33D" w:rsidR="0061428A" w:rsidRDefault="0061428A" w:rsidP="00BA20A4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Protección y </w:t>
      </w:r>
      <w:r w:rsidR="002C4A85">
        <w:rPr>
          <w:rFonts w:ascii="Arial" w:hAnsi="Arial" w:cs="Arial"/>
          <w:sz w:val="20"/>
          <w:szCs w:val="20"/>
        </w:rPr>
        <w:t xml:space="preserve">recuperación </w:t>
      </w:r>
      <w:r>
        <w:rPr>
          <w:rFonts w:ascii="Arial" w:hAnsi="Arial" w:cs="Arial"/>
          <w:sz w:val="20"/>
          <w:szCs w:val="20"/>
        </w:rPr>
        <w:t>de la biodiversidad los ecosistemas</w:t>
      </w:r>
    </w:p>
    <w:p w14:paraId="062D728A" w14:textId="2384DD1C" w:rsidR="00655C91" w:rsidRDefault="00A416BC" w:rsidP="00BA20A4">
      <w:pPr>
        <w:pStyle w:val="parrafo1"/>
        <w:spacing w:line="360" w:lineRule="auto"/>
        <w:ind w:left="720" w:firstLine="0"/>
        <w:rPr>
          <w:rFonts w:ascii="Arial" w:hAnsi="Arial" w:cs="Arial"/>
          <w:sz w:val="20"/>
          <w:szCs w:val="20"/>
        </w:rPr>
      </w:pPr>
      <w:r w:rsidRPr="00A416BC">
        <w:rPr>
          <w:rFonts w:ascii="Arial" w:hAnsi="Arial" w:cs="Arial"/>
          <w:sz w:val="20"/>
          <w:szCs w:val="20"/>
        </w:rPr>
        <w:t>La construcción y operatividad de infraestructuras relacionadas con la gestión de la biodiversidad, deberán cumplir las especificaciones de los artículos 6 (3) y 12 de la Directiva de hábitats y el artículo 5 de la Directiva de aves, además de realizarse una Evaluación de Impacto Ambiental (EIA) o un cribado, de acuerdo con la Directiva EIA.</w:t>
      </w:r>
    </w:p>
    <w:p w14:paraId="7887ACF2" w14:textId="3A873599" w:rsidR="00C66928" w:rsidRDefault="00C66928" w:rsidP="00C66928">
      <w:pPr>
        <w:pStyle w:val="parrafo1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Etiquetado climático y digital</w:t>
      </w:r>
    </w:p>
    <w:p w14:paraId="18C0E112" w14:textId="7B39FEF6" w:rsidR="00C66928" w:rsidRPr="003444D6" w:rsidRDefault="00C66928" w:rsidP="00BA20A4">
      <w:pPr>
        <w:pStyle w:val="parrafo1"/>
        <w:spacing w:line="360" w:lineRule="auto"/>
        <w:ind w:left="72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 actuaciones deberán asegurar el cumplimiento del compromiso del etiquetado climático y digital, de conformidad con el Reglamento (UE) 2020/852 del Parlamento Europeo y del Consejo de 18 de junio de 2020, relativo al establecimiento de un marco para facilitar las inversiones sostenibles, y sus actos delegados (Reglamento de Taxonomía). En concreto, para la inversión C4.I2, en la cual se incardinan las inversiones de la</w:t>
      </w:r>
      <w:r w:rsidR="002C4A8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línea</w:t>
      </w:r>
      <w:r w:rsidR="002C4A85">
        <w:rPr>
          <w:rFonts w:ascii="Arial" w:hAnsi="Arial" w:cs="Arial"/>
          <w:sz w:val="20"/>
          <w:szCs w:val="20"/>
        </w:rPr>
        <w:t>s</w:t>
      </w:r>
      <w:r w:rsidRPr="00C66928">
        <w:rPr>
          <w:rFonts w:ascii="Arial" w:hAnsi="Arial" w:cs="Arial"/>
          <w:sz w:val="20"/>
          <w:szCs w:val="20"/>
        </w:rPr>
        <w:t xml:space="preserve"> de </w:t>
      </w:r>
      <w:r w:rsidR="002C4A85">
        <w:rPr>
          <w:rFonts w:ascii="Arial" w:hAnsi="Arial" w:cs="Arial"/>
          <w:sz w:val="20"/>
          <w:szCs w:val="20"/>
        </w:rPr>
        <w:t>actuación</w:t>
      </w:r>
      <w:r w:rsidR="002C4A85" w:rsidRPr="00C66928">
        <w:rPr>
          <w:rFonts w:ascii="Arial" w:hAnsi="Arial" w:cs="Arial"/>
          <w:sz w:val="20"/>
          <w:szCs w:val="20"/>
        </w:rPr>
        <w:t xml:space="preserve"> </w:t>
      </w:r>
      <w:r w:rsidRPr="00C66928">
        <w:rPr>
          <w:rFonts w:ascii="Arial" w:hAnsi="Arial" w:cs="Arial"/>
          <w:sz w:val="20"/>
          <w:szCs w:val="20"/>
        </w:rPr>
        <w:t>regulada</w:t>
      </w:r>
      <w:r w:rsidR="002C4A85">
        <w:rPr>
          <w:rFonts w:ascii="Arial" w:hAnsi="Arial" w:cs="Arial"/>
          <w:sz w:val="20"/>
          <w:szCs w:val="20"/>
        </w:rPr>
        <w:t>s</w:t>
      </w:r>
      <w:r w:rsidRPr="00C66928">
        <w:rPr>
          <w:rFonts w:ascii="Arial" w:hAnsi="Arial" w:cs="Arial"/>
          <w:sz w:val="20"/>
          <w:szCs w:val="20"/>
        </w:rPr>
        <w:t xml:space="preserve"> por </w:t>
      </w:r>
      <w:r>
        <w:rPr>
          <w:rFonts w:ascii="Arial" w:hAnsi="Arial" w:cs="Arial"/>
          <w:sz w:val="20"/>
          <w:szCs w:val="20"/>
        </w:rPr>
        <w:t xml:space="preserve">la </w:t>
      </w:r>
      <w:r w:rsidR="002C4A85">
        <w:rPr>
          <w:rFonts w:ascii="Arial" w:hAnsi="Arial" w:cs="Arial"/>
          <w:sz w:val="20"/>
          <w:szCs w:val="20"/>
        </w:rPr>
        <w:t>presente orden</w:t>
      </w:r>
      <w:r>
        <w:rPr>
          <w:rFonts w:ascii="Arial" w:hAnsi="Arial" w:cs="Arial"/>
          <w:sz w:val="20"/>
          <w:szCs w:val="20"/>
        </w:rPr>
        <w:t>, deberán encuadrarse en el campo de intervención (050): Protección de la naturaleza y la biodiversidad, patrimonio y recursos naturales, infraestructuras verdes y azules.</w:t>
      </w:r>
      <w:r w:rsidR="00CB7C2C">
        <w:rPr>
          <w:rFonts w:ascii="Arial" w:hAnsi="Arial" w:cs="Arial"/>
          <w:sz w:val="20"/>
          <w:szCs w:val="20"/>
        </w:rPr>
        <w:t xml:space="preserve"> </w:t>
      </w:r>
      <w:r w:rsidR="00CB7C2C" w:rsidRPr="00CB7C2C">
        <w:rPr>
          <w:rFonts w:ascii="Arial" w:hAnsi="Arial" w:cs="Arial"/>
          <w:sz w:val="20"/>
          <w:szCs w:val="20"/>
        </w:rPr>
        <w:t>La contribución a la transición digital de las actuaciones incardinadas en la inversión C4.I2 que se subvencionan con la orden de ayuda, es cero (sin etiqueta).</w:t>
      </w:r>
    </w:p>
    <w:sectPr w:rsidR="00C66928" w:rsidRPr="003444D6" w:rsidSect="00C400B9">
      <w:headerReference w:type="default" r:id="rId8"/>
      <w:footerReference w:type="default" r:id="rId9"/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986A5" w14:textId="77777777" w:rsidR="00C400B9" w:rsidRDefault="00C400B9" w:rsidP="00C400B9">
      <w:r>
        <w:separator/>
      </w:r>
    </w:p>
  </w:endnote>
  <w:endnote w:type="continuationSeparator" w:id="0">
    <w:p w14:paraId="153820DC" w14:textId="77777777" w:rsidR="00C400B9" w:rsidRDefault="00C400B9" w:rsidP="00C4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563E4" w14:textId="5D8EED96" w:rsidR="003D05CB" w:rsidRPr="003D05CB" w:rsidRDefault="003D05CB" w:rsidP="003D05CB">
    <w:pPr>
      <w:pStyle w:val="Piedepgina"/>
      <w:jc w:val="right"/>
      <w:rPr>
        <w:rFonts w:ascii="Arial" w:hAnsi="Arial" w:cs="Arial"/>
        <w:sz w:val="18"/>
      </w:rPr>
    </w:pPr>
    <w:r w:rsidRPr="005B7E49">
      <w:rPr>
        <w:rFonts w:ascii="Arial" w:hAnsi="Arial" w:cs="Arial"/>
        <w:sz w:val="18"/>
      </w:rPr>
      <w:t xml:space="preserve">Página </w:t>
    </w:r>
    <w:r w:rsidRPr="005B7E49">
      <w:rPr>
        <w:rFonts w:ascii="Arial" w:hAnsi="Arial" w:cs="Arial"/>
        <w:sz w:val="18"/>
      </w:rPr>
      <w:fldChar w:fldCharType="begin"/>
    </w:r>
    <w:r w:rsidRPr="005B7E49">
      <w:rPr>
        <w:rFonts w:ascii="Arial" w:hAnsi="Arial" w:cs="Arial"/>
        <w:sz w:val="18"/>
      </w:rPr>
      <w:instrText>PAGE   \* MERGEFORMAT</w:instrText>
    </w:r>
    <w:r w:rsidRPr="005B7E49">
      <w:rPr>
        <w:rFonts w:ascii="Arial" w:hAnsi="Arial" w:cs="Arial"/>
        <w:sz w:val="18"/>
      </w:rPr>
      <w:fldChar w:fldCharType="separate"/>
    </w:r>
    <w:r w:rsidR="00444F03">
      <w:rPr>
        <w:rFonts w:ascii="Arial" w:hAnsi="Arial" w:cs="Arial"/>
        <w:noProof/>
        <w:sz w:val="18"/>
      </w:rPr>
      <w:t>3</w:t>
    </w:r>
    <w:r w:rsidRPr="005B7E49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5990A" w14:textId="77777777" w:rsidR="00C400B9" w:rsidRDefault="00C400B9" w:rsidP="00C400B9">
      <w:r>
        <w:separator/>
      </w:r>
    </w:p>
  </w:footnote>
  <w:footnote w:type="continuationSeparator" w:id="0">
    <w:p w14:paraId="105A4ED8" w14:textId="77777777" w:rsidR="00C400B9" w:rsidRDefault="00C400B9" w:rsidP="00C40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32232" w14:textId="3A160066" w:rsidR="00C400B9" w:rsidRDefault="00AA38FB">
    <w:pPr>
      <w:pStyle w:val="Encabezado"/>
    </w:pPr>
    <w:r w:rsidRPr="00AA38FB">
      <w:rPr>
        <w:lang w:eastAsia="es-ES"/>
      </w:rPr>
      <w:t xml:space="preserve"> </w:t>
    </w:r>
    <w:r>
      <w:rPr>
        <w:noProof/>
        <w:lang w:eastAsia="es-ES"/>
      </w:rPr>
      <w:drawing>
        <wp:inline distT="0" distB="0" distL="0" distR="0" wp14:anchorId="762B444B" wp14:editId="384BF8FA">
          <wp:extent cx="5400040" cy="492760"/>
          <wp:effectExtent l="0" t="0" r="0" b="254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D68AB"/>
    <w:multiLevelType w:val="hybridMultilevel"/>
    <w:tmpl w:val="566A938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42BCD"/>
    <w:multiLevelType w:val="hybridMultilevel"/>
    <w:tmpl w:val="30BC18C8"/>
    <w:lvl w:ilvl="0" w:tplc="0C0A001B">
      <w:start w:val="1"/>
      <w:numFmt w:val="lowerRoman"/>
      <w:lvlText w:val="%1."/>
      <w:lvlJc w:val="righ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D65DF8"/>
    <w:multiLevelType w:val="hybridMultilevel"/>
    <w:tmpl w:val="3600115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62207"/>
    <w:multiLevelType w:val="hybridMultilevel"/>
    <w:tmpl w:val="2D6CF31E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E5F24"/>
    <w:multiLevelType w:val="multilevel"/>
    <w:tmpl w:val="44528724"/>
    <w:lvl w:ilvl="0">
      <w:start w:val="1"/>
      <w:numFmt w:val="decimal"/>
      <w:pStyle w:val="Ttulo2numerad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A727174"/>
    <w:multiLevelType w:val="hybridMultilevel"/>
    <w:tmpl w:val="7C821EF8"/>
    <w:lvl w:ilvl="0" w:tplc="125E0BD6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455CA"/>
    <w:multiLevelType w:val="hybridMultilevel"/>
    <w:tmpl w:val="E3DE5ED0"/>
    <w:lvl w:ilvl="0" w:tplc="EEC2246C">
      <w:start w:val="1"/>
      <w:numFmt w:val="decimal"/>
      <w:pStyle w:val="Ttulo1numerado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5110B"/>
    <w:multiLevelType w:val="hybridMultilevel"/>
    <w:tmpl w:val="30BC18C8"/>
    <w:lvl w:ilvl="0" w:tplc="0C0A001B">
      <w:start w:val="1"/>
      <w:numFmt w:val="lowerRoman"/>
      <w:lvlText w:val="%1."/>
      <w:lvlJc w:val="righ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C7"/>
    <w:rsid w:val="00071E55"/>
    <w:rsid w:val="0009146C"/>
    <w:rsid w:val="000D1307"/>
    <w:rsid w:val="00145403"/>
    <w:rsid w:val="001539F9"/>
    <w:rsid w:val="002261D0"/>
    <w:rsid w:val="002C4A85"/>
    <w:rsid w:val="003444D6"/>
    <w:rsid w:val="003B146B"/>
    <w:rsid w:val="003C032D"/>
    <w:rsid w:val="003D05CB"/>
    <w:rsid w:val="003F68BB"/>
    <w:rsid w:val="00444F03"/>
    <w:rsid w:val="0061428A"/>
    <w:rsid w:val="00655C91"/>
    <w:rsid w:val="00700250"/>
    <w:rsid w:val="00773033"/>
    <w:rsid w:val="007B262E"/>
    <w:rsid w:val="007E1A85"/>
    <w:rsid w:val="008B485B"/>
    <w:rsid w:val="008C61E8"/>
    <w:rsid w:val="008D5856"/>
    <w:rsid w:val="00905BC6"/>
    <w:rsid w:val="009E4227"/>
    <w:rsid w:val="00A416BC"/>
    <w:rsid w:val="00AA1F41"/>
    <w:rsid w:val="00AA38FB"/>
    <w:rsid w:val="00B015E4"/>
    <w:rsid w:val="00B453E0"/>
    <w:rsid w:val="00BA20A4"/>
    <w:rsid w:val="00BB2D45"/>
    <w:rsid w:val="00C25470"/>
    <w:rsid w:val="00C400B9"/>
    <w:rsid w:val="00C66928"/>
    <w:rsid w:val="00CB7C2C"/>
    <w:rsid w:val="00D54DF8"/>
    <w:rsid w:val="00D66EC7"/>
    <w:rsid w:val="00DA2641"/>
    <w:rsid w:val="00DD6779"/>
    <w:rsid w:val="00E63F0A"/>
    <w:rsid w:val="00EC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C6259A"/>
  <w15:chartTrackingRefBased/>
  <w15:docId w15:val="{6C318F74-6523-4D68-886D-2CEC3476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F41"/>
  </w:style>
  <w:style w:type="paragraph" w:styleId="Ttulo1">
    <w:name w:val="heading 1"/>
    <w:basedOn w:val="Normal"/>
    <w:next w:val="Normal"/>
    <w:link w:val="Ttulo1Car"/>
    <w:qFormat/>
    <w:rsid w:val="00AA1F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A1F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AA1F41"/>
    <w:pPr>
      <w:keepNext/>
      <w:ind w:firstLine="705"/>
      <w:jc w:val="both"/>
      <w:outlineLvl w:val="2"/>
    </w:pPr>
    <w:rPr>
      <w:rFonts w:eastAsia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AA1F41"/>
    <w:pPr>
      <w:jc w:val="both"/>
    </w:pPr>
    <w:rPr>
      <w:rFonts w:ascii="Arial" w:hAnsi="Arial"/>
      <w:sz w:val="22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A1F41"/>
    <w:rPr>
      <w:rFonts w:ascii="Arial" w:hAnsi="Arial"/>
      <w:szCs w:val="20"/>
      <w:lang w:eastAsia="es-ES"/>
    </w:rPr>
  </w:style>
  <w:style w:type="character" w:customStyle="1" w:styleId="EstiloCorreo19">
    <w:name w:val="EstiloCorreo19"/>
    <w:semiHidden/>
    <w:rsid w:val="00AA1F41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uiPriority w:val="99"/>
    <w:semiHidden/>
    <w:rsid w:val="00AA1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ntrol-label2">
    <w:name w:val="control-label2"/>
    <w:basedOn w:val="Fuentedeprrafopredeter"/>
    <w:rsid w:val="00AA1F41"/>
    <w:rPr>
      <w:b w:val="0"/>
      <w:bCs w:val="0"/>
      <w:color w:val="666666"/>
    </w:rPr>
  </w:style>
  <w:style w:type="paragraph" w:customStyle="1" w:styleId="Estilo1">
    <w:name w:val="Estilo1"/>
    <w:basedOn w:val="Normal"/>
    <w:qFormat/>
    <w:rsid w:val="00AA1F41"/>
    <w:pPr>
      <w:spacing w:before="240" w:line="276" w:lineRule="auto"/>
      <w:jc w:val="both"/>
    </w:pPr>
    <w:rPr>
      <w:rFonts w:ascii="Arial" w:eastAsia="Times New Roman" w:hAnsi="Arial"/>
    </w:rPr>
  </w:style>
  <w:style w:type="paragraph" w:customStyle="1" w:styleId="Ttulo1numerado">
    <w:name w:val="Título 1 numerado"/>
    <w:basedOn w:val="Ttulo1"/>
    <w:link w:val="Ttulo1numeradoCar"/>
    <w:qFormat/>
    <w:rsid w:val="00AA1F41"/>
    <w:pPr>
      <w:numPr>
        <w:numId w:val="2"/>
      </w:numPr>
    </w:pPr>
  </w:style>
  <w:style w:type="character" w:customStyle="1" w:styleId="Ttulo1numeradoCar">
    <w:name w:val="Título 1 numerado Car"/>
    <w:basedOn w:val="Ttulo1Car"/>
    <w:link w:val="Ttulo1numerado"/>
    <w:rsid w:val="00AA1F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character" w:customStyle="1" w:styleId="Ttulo1Car">
    <w:name w:val="Título 1 Car"/>
    <w:basedOn w:val="Fuentedeprrafopredeter"/>
    <w:link w:val="Ttulo1"/>
    <w:rsid w:val="00AA1F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paragraph" w:customStyle="1" w:styleId="Comentariotexto-Mariu">
    <w:name w:val="Comentario texto-Mariu"/>
    <w:basedOn w:val="Textocomentario"/>
    <w:link w:val="Comentariotexto-MariuCar"/>
    <w:qFormat/>
    <w:rsid w:val="00AA1F41"/>
    <w:rPr>
      <w:rFonts w:eastAsia="Times New Roman"/>
    </w:rPr>
  </w:style>
  <w:style w:type="character" w:customStyle="1" w:styleId="Comentariotexto-MariuCar">
    <w:name w:val="Comentario texto-Mariu Car"/>
    <w:basedOn w:val="TextocomentarioCar"/>
    <w:link w:val="Comentariotexto-Mariu"/>
    <w:rsid w:val="00AA1F41"/>
    <w:rPr>
      <w:rFonts w:ascii="Arial" w:eastAsia="Times New Roman" w:hAnsi="Arial" w:cs="Times New Roman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AA1F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AA1F41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AA1F41"/>
    <w:pPr>
      <w:spacing w:after="100"/>
    </w:pPr>
    <w:rPr>
      <w:rFonts w:eastAsia="Times New Roman"/>
    </w:rPr>
  </w:style>
  <w:style w:type="paragraph" w:styleId="TDC2">
    <w:name w:val="toc 2"/>
    <w:basedOn w:val="Normal"/>
    <w:next w:val="Normal"/>
    <w:autoRedefine/>
    <w:uiPriority w:val="39"/>
    <w:unhideWhenUsed/>
    <w:rsid w:val="00AA1F41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AA1F41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Encabezado">
    <w:name w:val="header"/>
    <w:basedOn w:val="Normal"/>
    <w:link w:val="EncabezadoCar"/>
    <w:rsid w:val="00AA1F41"/>
    <w:pPr>
      <w:tabs>
        <w:tab w:val="center" w:pos="4252"/>
        <w:tab w:val="right" w:pos="8504"/>
      </w:tabs>
    </w:pPr>
    <w:rPr>
      <w:rFonts w:eastAsia="Times New Roman"/>
    </w:rPr>
  </w:style>
  <w:style w:type="character" w:customStyle="1" w:styleId="EncabezadoCar">
    <w:name w:val="Encabezado Car"/>
    <w:basedOn w:val="Fuentedeprrafopredeter"/>
    <w:link w:val="Encabezado"/>
    <w:rsid w:val="00AA1F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AA1F41"/>
    <w:pPr>
      <w:tabs>
        <w:tab w:val="center" w:pos="4252"/>
        <w:tab w:val="right" w:pos="8504"/>
      </w:tabs>
    </w:pPr>
    <w:rPr>
      <w:rFonts w:eastAsia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A1F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AA1F41"/>
    <w:rPr>
      <w:sz w:val="16"/>
      <w:szCs w:val="16"/>
    </w:rPr>
  </w:style>
  <w:style w:type="character" w:styleId="Hipervnculo">
    <w:name w:val="Hyperlink"/>
    <w:uiPriority w:val="99"/>
    <w:rsid w:val="00AA1F41"/>
    <w:rPr>
      <w:color w:val="0000FF"/>
      <w:u w:val="single"/>
    </w:rPr>
  </w:style>
  <w:style w:type="character" w:styleId="Textoennegrita">
    <w:name w:val="Strong"/>
    <w:basedOn w:val="Fuentedeprrafopredeter"/>
    <w:qFormat/>
    <w:rsid w:val="00AA1F41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rsid w:val="00AA1F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AA1F41"/>
    <w:rPr>
      <w:rFonts w:eastAsia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A1F41"/>
    <w:rPr>
      <w:rFonts w:ascii="Arial" w:eastAsia="Times New Roman" w:hAnsi="Arial" w:cs="Times New Roman"/>
      <w:b/>
      <w:bCs/>
      <w:szCs w:val="20"/>
      <w:lang w:eastAsia="es-ES"/>
    </w:rPr>
  </w:style>
  <w:style w:type="paragraph" w:styleId="Textodeglobo">
    <w:name w:val="Balloon Text"/>
    <w:basedOn w:val="Normal"/>
    <w:link w:val="TextodegloboCar"/>
    <w:semiHidden/>
    <w:rsid w:val="00AA1F41"/>
    <w:rPr>
      <w:rFonts w:ascii="Tahoma" w:eastAsia="Times New Roman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AA1F41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AA1F41"/>
    <w:rPr>
      <w:rFonts w:eastAsia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A1F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tulodeTDC">
    <w:name w:val="TOC Heading"/>
    <w:basedOn w:val="Ttulo1"/>
    <w:next w:val="Normal"/>
    <w:uiPriority w:val="39"/>
    <w:unhideWhenUsed/>
    <w:qFormat/>
    <w:rsid w:val="00AA1F41"/>
    <w:pPr>
      <w:spacing w:line="259" w:lineRule="auto"/>
      <w:outlineLvl w:val="9"/>
    </w:pPr>
  </w:style>
  <w:style w:type="paragraph" w:customStyle="1" w:styleId="Ttulo2numerado">
    <w:name w:val="Título 2 numerado"/>
    <w:basedOn w:val="Ttulo2"/>
    <w:link w:val="Ttulo2numeradoCar"/>
    <w:autoRedefine/>
    <w:qFormat/>
    <w:rsid w:val="008C61E8"/>
    <w:pPr>
      <w:numPr>
        <w:numId w:val="4"/>
      </w:numPr>
      <w:ind w:hanging="360"/>
    </w:pPr>
    <w:rPr>
      <w:rFonts w:ascii="Arial" w:hAnsi="Arial"/>
      <w:sz w:val="22"/>
    </w:rPr>
  </w:style>
  <w:style w:type="character" w:customStyle="1" w:styleId="Ttulo2numeradoCar">
    <w:name w:val="Título 2 numerado Car"/>
    <w:basedOn w:val="Ttulo2Car"/>
    <w:link w:val="Ttulo2numerado"/>
    <w:rsid w:val="008C61E8"/>
    <w:rPr>
      <w:rFonts w:ascii="Arial" w:eastAsiaTheme="majorEastAsia" w:hAnsi="Arial" w:cstheme="majorBidi"/>
      <w:color w:val="2E74B5" w:themeColor="accent1" w:themeShade="BF"/>
      <w:sz w:val="22"/>
      <w:szCs w:val="26"/>
      <w:lang w:eastAsia="es-ES"/>
    </w:rPr>
  </w:style>
  <w:style w:type="paragraph" w:customStyle="1" w:styleId="parrafo1">
    <w:name w:val="parrafo1"/>
    <w:basedOn w:val="Normal"/>
    <w:rsid w:val="00B453E0"/>
    <w:pPr>
      <w:spacing w:before="180" w:after="180"/>
      <w:ind w:firstLine="360"/>
      <w:jc w:val="both"/>
    </w:pPr>
    <w:rPr>
      <w:rFonts w:eastAsia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1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49A0.461250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B7D61-A818-4EE5-881B-91CF6433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1037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Marinas Benavides</dc:creator>
  <cp:keywords/>
  <dc:description/>
  <cp:lastModifiedBy>Sandra Tejo Tartilan</cp:lastModifiedBy>
  <cp:revision>20</cp:revision>
  <dcterms:created xsi:type="dcterms:W3CDTF">2022-02-08T16:21:00Z</dcterms:created>
  <dcterms:modified xsi:type="dcterms:W3CDTF">2022-04-08T10:14:00Z</dcterms:modified>
</cp:coreProperties>
</file>